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42D2" w14:textId="39E654CD" w:rsidR="00BB6FE4" w:rsidRPr="00FD7FF4" w:rsidRDefault="00FD7FF4" w:rsidP="00A21EF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PRIJEDLOG</w:t>
      </w:r>
    </w:p>
    <w:p w14:paraId="123903FE" w14:textId="77777777" w:rsidR="00BB6FE4" w:rsidRDefault="00BB6FE4" w:rsidP="00A21EF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14:paraId="5505EAFC" w14:textId="69C0BDEB" w:rsidR="00A21EFB" w:rsidRPr="00A21EFB" w:rsidRDefault="00A21EFB" w:rsidP="00A21EF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A21EFB">
        <w:rPr>
          <w:rFonts w:ascii="Garamond" w:hAnsi="Garamond"/>
          <w:lang w:eastAsia="en-US"/>
        </w:rPr>
        <w:t>Na temelju članka 95. Zakona o komunalnom gospodarstvu („Narodne novine“ broj 68/18 i 110/18</w:t>
      </w:r>
      <w:r w:rsidR="00A11E03">
        <w:rPr>
          <w:rFonts w:ascii="Garamond" w:hAnsi="Garamond"/>
          <w:lang w:eastAsia="en-US"/>
        </w:rPr>
        <w:t xml:space="preserve">, 32/20, 145/24 </w:t>
      </w:r>
      <w:r w:rsidRPr="00A21EFB">
        <w:rPr>
          <w:rFonts w:ascii="Garamond" w:hAnsi="Garamond"/>
          <w:lang w:eastAsia="en-US"/>
        </w:rPr>
        <w:t xml:space="preserve"> u daljnjem tekstu: Zakon) i članka 20. </w:t>
      </w:r>
      <w:bookmarkStart w:id="0" w:name="_Hlk189736830"/>
      <w:r w:rsidRPr="00A21EFB">
        <w:rPr>
          <w:rFonts w:ascii="Garamond" w:hAnsi="Garamond"/>
          <w:lang w:eastAsia="en-US"/>
        </w:rPr>
        <w:t xml:space="preserve">Statuta Općine Tinjan </w:t>
      </w:r>
      <w:r w:rsidR="00A11E03" w:rsidRPr="00A11E03">
        <w:rPr>
          <w:rFonts w:ascii="Garamond" w:hAnsi="Garamond"/>
          <w:lang w:eastAsia="en-US"/>
        </w:rPr>
        <w:t>(''Službene novine Općine Tinjan'' 04/17-pročišćeni tekst, 3/20, 3/21, 2/22)</w:t>
      </w:r>
      <w:r w:rsidR="00A11E03">
        <w:rPr>
          <w:rFonts w:ascii="Garamond" w:hAnsi="Garamond"/>
          <w:lang w:eastAsia="en-US"/>
        </w:rPr>
        <w:t xml:space="preserve">, </w:t>
      </w:r>
      <w:bookmarkEnd w:id="0"/>
      <w:r w:rsidRPr="00A21EFB">
        <w:rPr>
          <w:rFonts w:ascii="Garamond" w:hAnsi="Garamond"/>
          <w:lang w:eastAsia="en-US"/>
        </w:rPr>
        <w:t>Općinsko vijeće Općine Tinjan, na</w:t>
      </w:r>
      <w:r>
        <w:rPr>
          <w:rFonts w:ascii="Garamond" w:hAnsi="Garamond"/>
          <w:lang w:eastAsia="en-US"/>
        </w:rPr>
        <w:t xml:space="preserve"> 31.</w:t>
      </w:r>
      <w:r w:rsidRPr="00A21EFB">
        <w:rPr>
          <w:rFonts w:ascii="Garamond" w:hAnsi="Garamond"/>
          <w:lang w:eastAsia="en-US"/>
        </w:rPr>
        <w:t xml:space="preserve"> sjednici održanoj dana </w:t>
      </w:r>
      <w:r w:rsidR="00FD7FF4">
        <w:rPr>
          <w:rFonts w:ascii="Garamond" w:hAnsi="Garamond"/>
          <w:lang w:eastAsia="en-US"/>
        </w:rPr>
        <w:t>___</w:t>
      </w:r>
      <w:r>
        <w:rPr>
          <w:rFonts w:ascii="Garamond" w:hAnsi="Garamond"/>
          <w:lang w:eastAsia="en-US"/>
        </w:rPr>
        <w:t xml:space="preserve"> veljače</w:t>
      </w:r>
      <w:r w:rsidRPr="00A21EFB">
        <w:rPr>
          <w:rFonts w:ascii="Garamond" w:hAnsi="Garamond"/>
          <w:lang w:eastAsia="en-US"/>
        </w:rPr>
        <w:t xml:space="preserve"> 20</w:t>
      </w:r>
      <w:r>
        <w:rPr>
          <w:rFonts w:ascii="Garamond" w:hAnsi="Garamond"/>
          <w:lang w:eastAsia="en-US"/>
        </w:rPr>
        <w:t>25</w:t>
      </w:r>
      <w:r w:rsidRPr="00A21EFB">
        <w:rPr>
          <w:rFonts w:ascii="Garamond" w:hAnsi="Garamond"/>
          <w:lang w:eastAsia="en-US"/>
        </w:rPr>
        <w:t>. godine, donijelo je</w:t>
      </w:r>
    </w:p>
    <w:p w14:paraId="5F14ACDF" w14:textId="77777777" w:rsidR="00A21EFB" w:rsidRPr="00A21EFB" w:rsidRDefault="00A21EFB" w:rsidP="00A21EF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14:paraId="3E20490E" w14:textId="11B48430" w:rsidR="00A21EFB" w:rsidRDefault="00BB6FE4" w:rsidP="00A21EFB">
      <w:pPr>
        <w:autoSpaceDE w:val="0"/>
        <w:autoSpaceDN w:val="0"/>
        <w:adjustRightInd w:val="0"/>
        <w:jc w:val="center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lang w:eastAsia="en-US"/>
        </w:rPr>
        <w:t>Odluka o i</w:t>
      </w:r>
      <w:r w:rsidR="00A21EFB">
        <w:rPr>
          <w:rFonts w:ascii="Garamond" w:hAnsi="Garamond"/>
          <w:b/>
          <w:lang w:eastAsia="en-US"/>
        </w:rPr>
        <w:t>zmjen</w:t>
      </w:r>
      <w:r>
        <w:rPr>
          <w:rFonts w:ascii="Garamond" w:hAnsi="Garamond"/>
          <w:b/>
          <w:lang w:eastAsia="en-US"/>
        </w:rPr>
        <w:t>i</w:t>
      </w:r>
      <w:r w:rsidR="00A21EFB">
        <w:rPr>
          <w:rFonts w:ascii="Garamond" w:hAnsi="Garamond"/>
          <w:b/>
          <w:lang w:eastAsia="en-US"/>
        </w:rPr>
        <w:t xml:space="preserve"> i dopun</w:t>
      </w:r>
      <w:r>
        <w:rPr>
          <w:rFonts w:ascii="Garamond" w:hAnsi="Garamond"/>
          <w:b/>
          <w:lang w:eastAsia="en-US"/>
        </w:rPr>
        <w:t>i</w:t>
      </w:r>
    </w:p>
    <w:p w14:paraId="1A113CED" w14:textId="455C4F7E" w:rsidR="00A21EFB" w:rsidRPr="00A21EFB" w:rsidRDefault="00A21EFB" w:rsidP="00A21EFB">
      <w:pPr>
        <w:autoSpaceDE w:val="0"/>
        <w:autoSpaceDN w:val="0"/>
        <w:adjustRightInd w:val="0"/>
        <w:jc w:val="center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lang w:eastAsia="en-US"/>
        </w:rPr>
        <w:t xml:space="preserve"> Odluke </w:t>
      </w:r>
      <w:r w:rsidRPr="00A21EFB">
        <w:rPr>
          <w:rFonts w:ascii="Garamond" w:hAnsi="Garamond"/>
          <w:b/>
          <w:lang w:eastAsia="en-US"/>
        </w:rPr>
        <w:t>o komunalnoj naknadi Općine Tinjan</w:t>
      </w:r>
    </w:p>
    <w:p w14:paraId="225B1509" w14:textId="77777777" w:rsidR="00A21EFB" w:rsidRPr="00A21EFB" w:rsidRDefault="00A21EFB" w:rsidP="00A21EFB">
      <w:pPr>
        <w:autoSpaceDE w:val="0"/>
        <w:autoSpaceDN w:val="0"/>
        <w:adjustRightInd w:val="0"/>
        <w:jc w:val="center"/>
        <w:rPr>
          <w:rFonts w:ascii="Garamond" w:hAnsi="Garamond"/>
          <w:b/>
          <w:lang w:eastAsia="en-US"/>
        </w:rPr>
      </w:pPr>
    </w:p>
    <w:p w14:paraId="1B42B1F2" w14:textId="5CAA5A41" w:rsidR="00A21EFB" w:rsidRPr="00A21EFB" w:rsidRDefault="00A21EFB" w:rsidP="00A21EFB">
      <w:pPr>
        <w:keepNext/>
        <w:outlineLvl w:val="0"/>
        <w:rPr>
          <w:rFonts w:ascii="Garamond" w:hAnsi="Garamond"/>
          <w:b/>
          <w:lang w:eastAsia="en-US"/>
        </w:rPr>
      </w:pPr>
    </w:p>
    <w:p w14:paraId="68B142D0" w14:textId="77777777" w:rsidR="00A21EFB" w:rsidRPr="00A21EFB" w:rsidRDefault="00A21EFB" w:rsidP="00A21EFB">
      <w:pPr>
        <w:rPr>
          <w:rFonts w:ascii="Garamond" w:hAnsi="Garamond"/>
          <w:lang w:eastAsia="en-US"/>
        </w:rPr>
      </w:pPr>
    </w:p>
    <w:p w14:paraId="735D24B7" w14:textId="77777777" w:rsidR="00A21EFB" w:rsidRPr="00A21EFB" w:rsidRDefault="00A21EFB" w:rsidP="00A21EFB">
      <w:pPr>
        <w:keepNext/>
        <w:ind w:firstLine="709"/>
        <w:jc w:val="center"/>
        <w:outlineLvl w:val="1"/>
        <w:rPr>
          <w:rFonts w:ascii="Garamond" w:hAnsi="Garamond"/>
          <w:b/>
          <w:lang w:eastAsia="en-US"/>
        </w:rPr>
      </w:pPr>
      <w:r w:rsidRPr="00A21EFB">
        <w:rPr>
          <w:rFonts w:ascii="Garamond" w:hAnsi="Garamond"/>
          <w:b/>
          <w:lang w:eastAsia="en-US"/>
        </w:rPr>
        <w:t>Članak 1.</w:t>
      </w:r>
    </w:p>
    <w:p w14:paraId="4135F846" w14:textId="350281B6" w:rsidR="00A11E03" w:rsidRDefault="00A21EFB">
      <w:pPr>
        <w:rPr>
          <w:rFonts w:ascii="Garamond" w:hAnsi="Garamond"/>
        </w:rPr>
      </w:pPr>
      <w:r>
        <w:rPr>
          <w:rFonts w:ascii="Garamond" w:hAnsi="Garamond"/>
        </w:rPr>
        <w:t xml:space="preserve">U Odluci o komunalnoj naknadi </w:t>
      </w:r>
      <w:bookmarkStart w:id="1" w:name="_Hlk189738019"/>
      <w:r w:rsidRPr="00A21EFB">
        <w:rPr>
          <w:rFonts w:ascii="Garamond" w:hAnsi="Garamond"/>
        </w:rPr>
        <w:t>(</w:t>
      </w:r>
      <w:r w:rsidR="00FD7FF4">
        <w:rPr>
          <w:rFonts w:ascii="Garamond" w:hAnsi="Garamond"/>
        </w:rPr>
        <w:t>''</w:t>
      </w:r>
      <w:r w:rsidRPr="00A21EFB">
        <w:rPr>
          <w:rFonts w:ascii="Garamond" w:hAnsi="Garamond"/>
        </w:rPr>
        <w:t>Službene novine Općine Tinjan</w:t>
      </w:r>
      <w:r w:rsidR="00FD7FF4">
        <w:rPr>
          <w:rFonts w:ascii="Garamond" w:hAnsi="Garamond"/>
        </w:rPr>
        <w:t>'' broj</w:t>
      </w:r>
      <w:r w:rsidRPr="00A21EFB">
        <w:rPr>
          <w:rFonts w:ascii="Garamond" w:hAnsi="Garamond"/>
        </w:rPr>
        <w:t xml:space="preserve"> 2/19, 7/21)</w:t>
      </w:r>
      <w:r w:rsidR="00A11E03">
        <w:rPr>
          <w:rFonts w:ascii="Garamond" w:hAnsi="Garamond"/>
        </w:rPr>
        <w:t xml:space="preserve"> </w:t>
      </w:r>
      <w:bookmarkEnd w:id="1"/>
      <w:r w:rsidR="00A11E03">
        <w:rPr>
          <w:rFonts w:ascii="Garamond" w:hAnsi="Garamond"/>
        </w:rPr>
        <w:t xml:space="preserve">članak 8. mijenja se i glasi: </w:t>
      </w:r>
    </w:p>
    <w:p w14:paraId="0926E91C" w14:textId="61742ED8" w:rsidR="00A21EFB" w:rsidRPr="00A21EFB" w:rsidRDefault="00A11E0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30021EF" w14:textId="7CA2FF5B" w:rsidR="00A21EFB" w:rsidRPr="00A21EFB" w:rsidRDefault="00A11E03" w:rsidP="00A21EFB">
      <w:pPr>
        <w:rPr>
          <w:rFonts w:ascii="Garamond" w:hAnsi="Garamond"/>
        </w:rPr>
      </w:pPr>
      <w:r>
        <w:rPr>
          <w:rFonts w:ascii="Garamond" w:hAnsi="Garamond"/>
        </w:rPr>
        <w:t>''</w:t>
      </w:r>
      <w:r w:rsidR="00A21EFB" w:rsidRPr="00A21EFB">
        <w:rPr>
          <w:rFonts w:ascii="Garamond" w:hAnsi="Garamond"/>
        </w:rPr>
        <w:t xml:space="preserve">Koeficijent namjene nekretnina (Kn), </w:t>
      </w:r>
      <w:r w:rsidR="00A21EFB" w:rsidRPr="00A21EFB">
        <w:rPr>
          <w:rFonts w:ascii="Garamond" w:hAnsi="Garamond"/>
          <w:lang w:eastAsia="en-US"/>
        </w:rPr>
        <w:t>ovisno o vrsti nekretnine i djelatnosti</w:t>
      </w:r>
      <w:r w:rsidR="00A21EFB" w:rsidRPr="00A21EFB">
        <w:rPr>
          <w:rFonts w:ascii="Garamond" w:hAnsi="Garamond"/>
        </w:rPr>
        <w:t xml:space="preserve"> koja se obavlja, utvrđuje se kako slijedi:</w:t>
      </w:r>
    </w:p>
    <w:p w14:paraId="4722BFDD" w14:textId="77777777" w:rsidR="00A21EFB" w:rsidRPr="00A21EFB" w:rsidRDefault="00A21EFB" w:rsidP="00A21EF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265"/>
        <w:gridCol w:w="1401"/>
      </w:tblGrid>
      <w:tr w:rsidR="00A21EFB" w:rsidRPr="00A21EFB" w14:paraId="3C4452AC" w14:textId="77777777" w:rsidTr="001E3289">
        <w:tc>
          <w:tcPr>
            <w:tcW w:w="396" w:type="dxa"/>
            <w:shd w:val="clear" w:color="auto" w:fill="auto"/>
          </w:tcPr>
          <w:p w14:paraId="1B276CA9" w14:textId="77777777" w:rsidR="00A21EFB" w:rsidRPr="00A21EFB" w:rsidRDefault="00A21EFB" w:rsidP="001E3289">
            <w:pPr>
              <w:rPr>
                <w:rFonts w:ascii="Garamond" w:hAnsi="Garamond"/>
              </w:rPr>
            </w:pPr>
          </w:p>
        </w:tc>
        <w:tc>
          <w:tcPr>
            <w:tcW w:w="7265" w:type="dxa"/>
            <w:shd w:val="clear" w:color="auto" w:fill="auto"/>
          </w:tcPr>
          <w:p w14:paraId="52804E09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Namjena</w:t>
            </w:r>
          </w:p>
        </w:tc>
        <w:tc>
          <w:tcPr>
            <w:tcW w:w="1401" w:type="dxa"/>
            <w:shd w:val="clear" w:color="auto" w:fill="auto"/>
          </w:tcPr>
          <w:p w14:paraId="1F3E836B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Koef.namj.</w:t>
            </w:r>
          </w:p>
        </w:tc>
      </w:tr>
      <w:tr w:rsidR="00A21EFB" w:rsidRPr="00A21EFB" w14:paraId="059D970A" w14:textId="77777777" w:rsidTr="001E3289">
        <w:tc>
          <w:tcPr>
            <w:tcW w:w="396" w:type="dxa"/>
            <w:shd w:val="clear" w:color="auto" w:fill="auto"/>
          </w:tcPr>
          <w:p w14:paraId="2424702B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1.</w:t>
            </w:r>
          </w:p>
        </w:tc>
        <w:tc>
          <w:tcPr>
            <w:tcW w:w="7265" w:type="dxa"/>
            <w:shd w:val="clear" w:color="auto" w:fill="auto"/>
          </w:tcPr>
          <w:p w14:paraId="7B234E65" w14:textId="77777777" w:rsidR="008B2988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 xml:space="preserve">stambeni prostor </w:t>
            </w:r>
          </w:p>
          <w:p w14:paraId="1E75EAAD" w14:textId="77777777" w:rsidR="008B2988" w:rsidRDefault="008B2988" w:rsidP="008B29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8B2988">
              <w:rPr>
                <w:rFonts w:ascii="Garamond" w:hAnsi="Garamond"/>
              </w:rPr>
              <w:t>kuća za stanovanje</w:t>
            </w:r>
          </w:p>
          <w:p w14:paraId="157A8D16" w14:textId="77777777" w:rsidR="008B2988" w:rsidRDefault="008B2988" w:rsidP="008B29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8B2988">
              <w:rPr>
                <w:rFonts w:ascii="Garamond" w:hAnsi="Garamond"/>
              </w:rPr>
              <w:t>kuća za odmor</w:t>
            </w:r>
          </w:p>
          <w:p w14:paraId="24EFF9BD" w14:textId="71695B4A" w:rsidR="00A21EFB" w:rsidRPr="008B2988" w:rsidRDefault="008B2988" w:rsidP="001E328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8B2988">
              <w:rPr>
                <w:rFonts w:ascii="Garamond" w:hAnsi="Garamond"/>
              </w:rPr>
              <w:t>apartman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14:paraId="254C9284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1,00</w:t>
            </w:r>
          </w:p>
        </w:tc>
      </w:tr>
      <w:tr w:rsidR="00A21EFB" w:rsidRPr="00A21EFB" w14:paraId="6103334A" w14:textId="77777777" w:rsidTr="001E3289">
        <w:tc>
          <w:tcPr>
            <w:tcW w:w="396" w:type="dxa"/>
            <w:shd w:val="clear" w:color="auto" w:fill="auto"/>
          </w:tcPr>
          <w:p w14:paraId="09B8203F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2.</w:t>
            </w:r>
          </w:p>
        </w:tc>
        <w:tc>
          <w:tcPr>
            <w:tcW w:w="7265" w:type="dxa"/>
            <w:shd w:val="clear" w:color="auto" w:fill="auto"/>
          </w:tcPr>
          <w:p w14:paraId="77B9BA8B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garažni prostor</w:t>
            </w:r>
          </w:p>
        </w:tc>
        <w:tc>
          <w:tcPr>
            <w:tcW w:w="1401" w:type="dxa"/>
            <w:shd w:val="clear" w:color="auto" w:fill="auto"/>
          </w:tcPr>
          <w:p w14:paraId="2B366666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1,00</w:t>
            </w:r>
          </w:p>
        </w:tc>
      </w:tr>
      <w:tr w:rsidR="00A21EFB" w:rsidRPr="00A21EFB" w14:paraId="77D64876" w14:textId="77777777" w:rsidTr="001E3289">
        <w:tc>
          <w:tcPr>
            <w:tcW w:w="396" w:type="dxa"/>
            <w:shd w:val="clear" w:color="auto" w:fill="auto"/>
          </w:tcPr>
          <w:p w14:paraId="52D38EB9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3.</w:t>
            </w:r>
          </w:p>
        </w:tc>
        <w:tc>
          <w:tcPr>
            <w:tcW w:w="7265" w:type="dxa"/>
            <w:shd w:val="clear" w:color="auto" w:fill="auto"/>
          </w:tcPr>
          <w:p w14:paraId="19173E2E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neizgrađeno građevinsko zemljište</w:t>
            </w:r>
          </w:p>
        </w:tc>
        <w:tc>
          <w:tcPr>
            <w:tcW w:w="1401" w:type="dxa"/>
            <w:shd w:val="clear" w:color="auto" w:fill="auto"/>
          </w:tcPr>
          <w:p w14:paraId="2BB91E90" w14:textId="77777777" w:rsidR="00A21EFB" w:rsidRPr="00A21EFB" w:rsidRDefault="00A21EFB" w:rsidP="001E3289">
            <w:pPr>
              <w:rPr>
                <w:rFonts w:ascii="Garamond" w:hAnsi="Garamond"/>
                <w:color w:val="000000"/>
              </w:rPr>
            </w:pPr>
            <w:r w:rsidRPr="00A21EFB">
              <w:rPr>
                <w:rFonts w:ascii="Garamond" w:hAnsi="Garamond"/>
                <w:color w:val="000000"/>
              </w:rPr>
              <w:t>0,05</w:t>
            </w:r>
          </w:p>
        </w:tc>
      </w:tr>
      <w:tr w:rsidR="00A21EFB" w:rsidRPr="00A21EFB" w14:paraId="3D9AB35D" w14:textId="77777777" w:rsidTr="001E3289">
        <w:tc>
          <w:tcPr>
            <w:tcW w:w="396" w:type="dxa"/>
            <w:shd w:val="clear" w:color="auto" w:fill="auto"/>
          </w:tcPr>
          <w:p w14:paraId="72A6C203" w14:textId="77777777" w:rsidR="00A21EFB" w:rsidRPr="00A21EFB" w:rsidRDefault="00A21EFB" w:rsidP="001E3289">
            <w:pPr>
              <w:rPr>
                <w:rFonts w:ascii="Garamond" w:hAnsi="Garamond"/>
              </w:rPr>
            </w:pPr>
            <w:r w:rsidRPr="00A21EFB">
              <w:rPr>
                <w:rFonts w:ascii="Garamond" w:hAnsi="Garamond"/>
              </w:rPr>
              <w:t>4.</w:t>
            </w:r>
          </w:p>
        </w:tc>
        <w:tc>
          <w:tcPr>
            <w:tcW w:w="7265" w:type="dxa"/>
            <w:shd w:val="clear" w:color="auto" w:fill="auto"/>
          </w:tcPr>
          <w:p w14:paraId="026DE3B5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poslovni prostor</w:t>
            </w:r>
          </w:p>
          <w:p w14:paraId="4CC5388C" w14:textId="77777777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proizvodne djelatnosti (osim poljoprivrede)</w:t>
            </w:r>
          </w:p>
          <w:p w14:paraId="451729A1" w14:textId="77777777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poljoprivrednu djelatnost</w:t>
            </w:r>
          </w:p>
          <w:p w14:paraId="24A4DD02" w14:textId="77777777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djelatnost trgovine</w:t>
            </w:r>
          </w:p>
          <w:p w14:paraId="63BF4F32" w14:textId="77777777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za ugostiteljsku djelatnost  </w:t>
            </w:r>
          </w:p>
          <w:p w14:paraId="77DD81F4" w14:textId="77777777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za obrtničku djelatnost i usluge te za intelektualne usluge  </w:t>
            </w:r>
          </w:p>
          <w:p w14:paraId="07CF59D7" w14:textId="3510F3B4" w:rsidR="00A21EFB" w:rsidRPr="00FD7FF4" w:rsidRDefault="00A21EFB" w:rsidP="00A21EFB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telefonske centrale, niskonaponske trafostanice, objekti za mobilnu </w:t>
            </w:r>
            <w:r w:rsidR="00A11E03" w:rsidRPr="00FD7FF4">
              <w:rPr>
                <w:rFonts w:ascii="Garamond" w:hAnsi="Garamond"/>
              </w:rPr>
              <w:t>/</w:t>
            </w:r>
            <w:r w:rsidRPr="00FD7FF4">
              <w:rPr>
                <w:rFonts w:ascii="Garamond" w:hAnsi="Garamond"/>
              </w:rPr>
              <w:t>telefoniju (antene i dr.)</w:t>
            </w:r>
          </w:p>
        </w:tc>
        <w:tc>
          <w:tcPr>
            <w:tcW w:w="1401" w:type="dxa"/>
            <w:shd w:val="clear" w:color="auto" w:fill="auto"/>
          </w:tcPr>
          <w:p w14:paraId="38B64BAC" w14:textId="77777777" w:rsidR="00A21EFB" w:rsidRPr="00FD7FF4" w:rsidRDefault="00A21EFB" w:rsidP="001E3289">
            <w:pPr>
              <w:rPr>
                <w:rFonts w:ascii="Garamond" w:hAnsi="Garamond"/>
              </w:rPr>
            </w:pPr>
          </w:p>
          <w:p w14:paraId="4481D2A9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4,00</w:t>
            </w:r>
          </w:p>
          <w:p w14:paraId="437B7AAE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2,00</w:t>
            </w:r>
          </w:p>
          <w:p w14:paraId="731E4484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6,00</w:t>
            </w:r>
          </w:p>
          <w:p w14:paraId="6B377DF4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7,00</w:t>
            </w:r>
          </w:p>
          <w:p w14:paraId="3B835D9A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5,00</w:t>
            </w:r>
          </w:p>
          <w:p w14:paraId="39AAB703" w14:textId="77777777" w:rsidR="00A21EFB" w:rsidRPr="00FD7FF4" w:rsidRDefault="00A21EFB" w:rsidP="001E3289">
            <w:pPr>
              <w:rPr>
                <w:rFonts w:ascii="Garamond" w:hAnsi="Garamond"/>
              </w:rPr>
            </w:pPr>
          </w:p>
          <w:p w14:paraId="653BAE4D" w14:textId="77777777" w:rsidR="00A21EFB" w:rsidRPr="00FD7FF4" w:rsidRDefault="00A21EFB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10,00</w:t>
            </w:r>
          </w:p>
        </w:tc>
      </w:tr>
    </w:tbl>
    <w:p w14:paraId="72DFC622" w14:textId="77777777" w:rsidR="00A21EFB" w:rsidRPr="00A21EFB" w:rsidRDefault="00A21EFB" w:rsidP="00A21EFB">
      <w:pPr>
        <w:rPr>
          <w:rFonts w:ascii="Garamond" w:hAnsi="Garamond"/>
          <w:lang w:val="en-US"/>
        </w:rPr>
      </w:pPr>
    </w:p>
    <w:p w14:paraId="0DC0EDE8" w14:textId="5547B0E0" w:rsidR="00A21EFB" w:rsidRPr="00A21EFB" w:rsidRDefault="00A21EFB" w:rsidP="00A21EFB">
      <w:pPr>
        <w:jc w:val="both"/>
        <w:rPr>
          <w:rFonts w:ascii="Garamond" w:hAnsi="Garamond"/>
        </w:rPr>
      </w:pPr>
      <w:r w:rsidRPr="00A21EFB">
        <w:rPr>
          <w:rFonts w:ascii="Garamond" w:hAnsi="Garamond"/>
        </w:rPr>
        <w:t>Koeficijent namjene za građevinsko zemljište koje služi za obavljanje poslovne djelatnosti iznosi 10% koeficijenta namjene koji je određen za poslovni prostor.</w:t>
      </w:r>
      <w:r w:rsidR="00A11E03">
        <w:rPr>
          <w:rFonts w:ascii="Garamond" w:hAnsi="Garamond"/>
        </w:rPr>
        <w:t>''</w:t>
      </w:r>
    </w:p>
    <w:p w14:paraId="3D7391F5" w14:textId="77777777" w:rsidR="00A21EFB" w:rsidRDefault="00A21EFB" w:rsidP="00A21EFB">
      <w:pPr>
        <w:jc w:val="both"/>
        <w:rPr>
          <w:rFonts w:ascii="Garamond" w:hAnsi="Garamond"/>
        </w:rPr>
      </w:pPr>
    </w:p>
    <w:p w14:paraId="0FC3FD80" w14:textId="5FFD806E" w:rsidR="00A11E03" w:rsidRPr="00A11E03" w:rsidRDefault="00A11E03" w:rsidP="00A11E03">
      <w:pPr>
        <w:jc w:val="center"/>
        <w:rPr>
          <w:rFonts w:ascii="Garamond" w:hAnsi="Garamond"/>
          <w:b/>
          <w:bCs/>
        </w:rPr>
      </w:pPr>
      <w:r w:rsidRPr="00A11E03">
        <w:rPr>
          <w:rFonts w:ascii="Garamond" w:hAnsi="Garamond"/>
          <w:b/>
          <w:bCs/>
        </w:rPr>
        <w:t>Članak 2.</w:t>
      </w:r>
    </w:p>
    <w:p w14:paraId="54DB4C91" w14:textId="11ABBB5B" w:rsidR="00A11E03" w:rsidRDefault="00A11E03" w:rsidP="00A21EFB">
      <w:pPr>
        <w:jc w:val="both"/>
        <w:rPr>
          <w:rFonts w:ascii="Garamond" w:hAnsi="Garamond"/>
        </w:rPr>
      </w:pPr>
      <w:r>
        <w:rPr>
          <w:rFonts w:ascii="Garamond" w:hAnsi="Garamond"/>
        </w:rPr>
        <w:t>Ostale odredbe ostaju neizmijenjene.</w:t>
      </w:r>
    </w:p>
    <w:p w14:paraId="74780535" w14:textId="77777777" w:rsidR="00A11E03" w:rsidRDefault="00A11E03" w:rsidP="00A21EFB">
      <w:pPr>
        <w:jc w:val="both"/>
        <w:rPr>
          <w:rFonts w:ascii="Garamond" w:hAnsi="Garamond"/>
        </w:rPr>
      </w:pPr>
    </w:p>
    <w:p w14:paraId="568F52B3" w14:textId="0B901461" w:rsidR="00A11E03" w:rsidRPr="00A11E03" w:rsidRDefault="00A11E03" w:rsidP="00A11E03">
      <w:pPr>
        <w:jc w:val="center"/>
        <w:rPr>
          <w:rFonts w:ascii="Garamond" w:hAnsi="Garamond"/>
          <w:b/>
          <w:bCs/>
        </w:rPr>
      </w:pPr>
      <w:r w:rsidRPr="00A11E03">
        <w:rPr>
          <w:rFonts w:ascii="Garamond" w:hAnsi="Garamond"/>
          <w:b/>
          <w:bCs/>
        </w:rPr>
        <w:t>Članak 3.</w:t>
      </w:r>
    </w:p>
    <w:p w14:paraId="5C409084" w14:textId="615438E3" w:rsidR="00A11E03" w:rsidRDefault="00A11E03" w:rsidP="00A21EFB">
      <w:pPr>
        <w:jc w:val="both"/>
        <w:rPr>
          <w:rFonts w:ascii="Garamond" w:hAnsi="Garamond"/>
        </w:rPr>
      </w:pPr>
      <w:r>
        <w:rPr>
          <w:rFonts w:ascii="Garamond" w:hAnsi="Garamond"/>
        </w:rPr>
        <w:t>Ova Odluka stupa na snagu osmog dana od dana objave u Službenim novinama Općine Tinjan.</w:t>
      </w:r>
    </w:p>
    <w:p w14:paraId="50884023" w14:textId="77777777" w:rsidR="00A11E03" w:rsidRDefault="00A11E03" w:rsidP="00A21EFB">
      <w:pPr>
        <w:jc w:val="both"/>
        <w:rPr>
          <w:rFonts w:ascii="Garamond" w:hAnsi="Garamond"/>
        </w:rPr>
      </w:pPr>
    </w:p>
    <w:p w14:paraId="330ECACB" w14:textId="77777777" w:rsidR="00A11E03" w:rsidRDefault="00A11E03" w:rsidP="00A21EFB">
      <w:pPr>
        <w:jc w:val="both"/>
        <w:rPr>
          <w:rFonts w:ascii="Garamond" w:hAnsi="Garamond"/>
        </w:rPr>
      </w:pPr>
    </w:p>
    <w:p w14:paraId="1BA49084" w14:textId="6BCF7357" w:rsidR="00A11E03" w:rsidRDefault="00A11E03" w:rsidP="00A11E03">
      <w:pPr>
        <w:jc w:val="center"/>
        <w:rPr>
          <w:rFonts w:ascii="Garamond" w:hAnsi="Garamond"/>
        </w:rPr>
      </w:pPr>
      <w:r>
        <w:rPr>
          <w:rFonts w:ascii="Garamond" w:hAnsi="Garamond"/>
        </w:rPr>
        <w:t>OPĆINSKO VIJEĆE OPĆINE TINJAN</w:t>
      </w:r>
    </w:p>
    <w:p w14:paraId="6938A41E" w14:textId="6CD4C003" w:rsidR="00A11E03" w:rsidRDefault="00A11E03" w:rsidP="00A11E03">
      <w:pPr>
        <w:jc w:val="center"/>
        <w:rPr>
          <w:rFonts w:ascii="Garamond" w:hAnsi="Garamond"/>
        </w:rPr>
      </w:pPr>
      <w:r>
        <w:rPr>
          <w:rFonts w:ascii="Garamond" w:hAnsi="Garamond"/>
        </w:rPr>
        <w:t>Predsjednik Općinskog vijeća</w:t>
      </w:r>
    </w:p>
    <w:p w14:paraId="2719B8A0" w14:textId="4F3A4CFB" w:rsidR="00A11E03" w:rsidRDefault="00A11E03" w:rsidP="00A11E03">
      <w:pPr>
        <w:jc w:val="center"/>
        <w:rPr>
          <w:rFonts w:ascii="Garamond" w:hAnsi="Garamond"/>
        </w:rPr>
      </w:pPr>
      <w:r>
        <w:rPr>
          <w:rFonts w:ascii="Garamond" w:hAnsi="Garamond"/>
        </w:rPr>
        <w:t>Igor Antolović v.r.</w:t>
      </w:r>
    </w:p>
    <w:p w14:paraId="1DA94B04" w14:textId="77777777" w:rsidR="006B441B" w:rsidRDefault="006B441B" w:rsidP="00A11E03">
      <w:pPr>
        <w:jc w:val="center"/>
        <w:rPr>
          <w:rFonts w:ascii="Garamond" w:hAnsi="Garamond"/>
        </w:rPr>
      </w:pPr>
    </w:p>
    <w:p w14:paraId="24C2EDAF" w14:textId="77777777" w:rsidR="006B441B" w:rsidRDefault="006B441B" w:rsidP="00A11E03">
      <w:pPr>
        <w:jc w:val="center"/>
        <w:rPr>
          <w:rFonts w:ascii="Garamond" w:hAnsi="Garamond"/>
        </w:rPr>
      </w:pPr>
    </w:p>
    <w:p w14:paraId="6EF00DF1" w14:textId="77777777" w:rsidR="00FD7FF4" w:rsidRDefault="00FD7FF4" w:rsidP="00A11E03">
      <w:pPr>
        <w:jc w:val="center"/>
        <w:rPr>
          <w:rFonts w:ascii="Garamond" w:hAnsi="Garamond"/>
        </w:rPr>
      </w:pPr>
    </w:p>
    <w:p w14:paraId="4DC43776" w14:textId="77777777" w:rsidR="00FD7FF4" w:rsidRDefault="00FD7FF4" w:rsidP="00A11E03">
      <w:pPr>
        <w:jc w:val="center"/>
        <w:rPr>
          <w:rFonts w:ascii="Garamond" w:hAnsi="Garamond"/>
        </w:rPr>
      </w:pPr>
    </w:p>
    <w:p w14:paraId="75134627" w14:textId="77777777" w:rsidR="00FD7FF4" w:rsidRDefault="00FD7FF4" w:rsidP="00A11E03">
      <w:pPr>
        <w:jc w:val="center"/>
        <w:rPr>
          <w:rFonts w:ascii="Garamond" w:hAnsi="Garamond"/>
        </w:rPr>
      </w:pPr>
    </w:p>
    <w:p w14:paraId="3186B58F" w14:textId="77777777" w:rsidR="006B441B" w:rsidRPr="006B441B" w:rsidRDefault="006B441B" w:rsidP="006B441B">
      <w:pPr>
        <w:jc w:val="center"/>
        <w:rPr>
          <w:rFonts w:ascii="Garamond" w:hAnsi="Garamond"/>
        </w:rPr>
      </w:pPr>
      <w:r w:rsidRPr="006B441B">
        <w:rPr>
          <w:rFonts w:ascii="Garamond" w:hAnsi="Garamond"/>
        </w:rPr>
        <w:t>O B R A Z L O Ž E N J E</w:t>
      </w:r>
    </w:p>
    <w:p w14:paraId="592C9E70" w14:textId="77777777" w:rsidR="006B441B" w:rsidRDefault="006B441B" w:rsidP="006B441B">
      <w:pPr>
        <w:jc w:val="both"/>
        <w:rPr>
          <w:rFonts w:ascii="Garamond" w:hAnsi="Garamond"/>
        </w:rPr>
      </w:pPr>
    </w:p>
    <w:p w14:paraId="1FC2453C" w14:textId="62B51D29" w:rsidR="006B441B" w:rsidRPr="006B441B" w:rsidRDefault="006B441B" w:rsidP="006B441B">
      <w:pPr>
        <w:jc w:val="both"/>
        <w:rPr>
          <w:rFonts w:ascii="Garamond" w:hAnsi="Garamond"/>
        </w:rPr>
      </w:pPr>
      <w:r w:rsidRPr="006B441B">
        <w:rPr>
          <w:rFonts w:ascii="Garamond" w:hAnsi="Garamond"/>
        </w:rPr>
        <w:t>1. ZAKONSKA OSNOVA ZA DONOŠENJE ODLUKE sadržana je u:</w:t>
      </w:r>
    </w:p>
    <w:p w14:paraId="4A60B1B0" w14:textId="77777777" w:rsidR="006B441B" w:rsidRDefault="006B441B" w:rsidP="006B441B">
      <w:pPr>
        <w:jc w:val="both"/>
        <w:rPr>
          <w:rFonts w:ascii="Garamond" w:hAnsi="Garamond"/>
          <w:lang w:eastAsia="en-US"/>
        </w:rPr>
      </w:pPr>
      <w:r w:rsidRPr="006B441B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članku </w:t>
      </w:r>
      <w:r w:rsidRPr="00A21EFB">
        <w:rPr>
          <w:rFonts w:ascii="Garamond" w:hAnsi="Garamond"/>
          <w:lang w:eastAsia="en-US"/>
        </w:rPr>
        <w:t>95. Zakona o komunalnom gospodarstvu („Narodne novine“ broj 68/18 i 110/18</w:t>
      </w:r>
      <w:r>
        <w:rPr>
          <w:rFonts w:ascii="Garamond" w:hAnsi="Garamond"/>
          <w:lang w:eastAsia="en-US"/>
        </w:rPr>
        <w:t xml:space="preserve">, 32/20, 145/24 </w:t>
      </w:r>
      <w:r w:rsidRPr="00A21EFB">
        <w:rPr>
          <w:rFonts w:ascii="Garamond" w:hAnsi="Garamond"/>
          <w:lang w:eastAsia="en-US"/>
        </w:rPr>
        <w:t xml:space="preserve"> u daljnjem tekstu: Zakon) </w:t>
      </w:r>
    </w:p>
    <w:p w14:paraId="3B7C3ACE" w14:textId="1B161BD1" w:rsidR="006B441B" w:rsidRDefault="006B441B" w:rsidP="006B441B">
      <w:pPr>
        <w:jc w:val="both"/>
        <w:rPr>
          <w:rFonts w:ascii="Garamond" w:hAnsi="Garamond"/>
        </w:rPr>
      </w:pPr>
      <w:r w:rsidRPr="006B441B">
        <w:rPr>
          <w:rFonts w:ascii="Garamond" w:hAnsi="Garamond"/>
        </w:rPr>
        <w:t>- članku 2</w:t>
      </w:r>
      <w:r>
        <w:rPr>
          <w:rFonts w:ascii="Garamond" w:hAnsi="Garamond"/>
        </w:rPr>
        <w:t>0</w:t>
      </w:r>
      <w:r w:rsidRPr="006B441B">
        <w:rPr>
          <w:rFonts w:ascii="Garamond" w:hAnsi="Garamond"/>
        </w:rPr>
        <w:t>. Statuta Statuta Općine Tinjan (''Službene novine Općine Tinjan'' 04/17-pročišćeni tekst, 3/20, 3/21, 2/22)</w:t>
      </w:r>
    </w:p>
    <w:p w14:paraId="2724927F" w14:textId="77777777" w:rsidR="006B441B" w:rsidRDefault="006B441B" w:rsidP="006B441B">
      <w:pPr>
        <w:jc w:val="both"/>
        <w:rPr>
          <w:rFonts w:ascii="Garamond" w:hAnsi="Garamond"/>
        </w:rPr>
      </w:pPr>
    </w:p>
    <w:p w14:paraId="57AE1C97" w14:textId="4114E8E7" w:rsidR="006B441B" w:rsidRDefault="006B441B" w:rsidP="006B441B">
      <w:pPr>
        <w:jc w:val="both"/>
        <w:rPr>
          <w:rFonts w:ascii="Garamond" w:hAnsi="Garamond"/>
        </w:rPr>
      </w:pPr>
      <w:r w:rsidRPr="006B441B">
        <w:rPr>
          <w:rFonts w:ascii="Garamond" w:hAnsi="Garamond"/>
        </w:rPr>
        <w:t xml:space="preserve">2. OSNOVNA PITANJA KOJA SE UREĐUJU ODLUKOM </w:t>
      </w:r>
    </w:p>
    <w:p w14:paraId="29B870A6" w14:textId="77777777" w:rsidR="006B441B" w:rsidRPr="006B441B" w:rsidRDefault="006B441B" w:rsidP="006B441B">
      <w:pPr>
        <w:jc w:val="both"/>
        <w:rPr>
          <w:rFonts w:ascii="Garamond" w:hAnsi="Garamond"/>
        </w:rPr>
      </w:pPr>
    </w:p>
    <w:p w14:paraId="4FFD6BC5" w14:textId="77777777" w:rsidR="00FD7FF4" w:rsidRDefault="008B1B82" w:rsidP="006B441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Općinsko </w:t>
      </w:r>
      <w:r w:rsidRPr="008B1B82">
        <w:rPr>
          <w:rFonts w:ascii="Garamond" w:hAnsi="Garamond"/>
        </w:rPr>
        <w:t xml:space="preserve">vijeće </w:t>
      </w:r>
      <w:r>
        <w:rPr>
          <w:rFonts w:ascii="Garamond" w:hAnsi="Garamond"/>
        </w:rPr>
        <w:t xml:space="preserve">Općine Tinjan je </w:t>
      </w:r>
      <w:r w:rsidRPr="008B1B82">
        <w:rPr>
          <w:rFonts w:ascii="Garamond" w:hAnsi="Garamond"/>
        </w:rPr>
        <w:t>donijelo Odluku o komunalnoj naknadi</w:t>
      </w:r>
      <w:r w:rsidR="00FD7FF4">
        <w:rPr>
          <w:rFonts w:ascii="Garamond" w:hAnsi="Garamond"/>
        </w:rPr>
        <w:t xml:space="preserve"> </w:t>
      </w:r>
      <w:r w:rsidR="00FD7FF4" w:rsidRPr="00FD7FF4">
        <w:rPr>
          <w:rFonts w:ascii="Garamond" w:hAnsi="Garamond"/>
        </w:rPr>
        <w:t>(''Službene novine Općine Tinjan'' broj 2/19, 7/21)</w:t>
      </w:r>
      <w:r w:rsidR="00FD7FF4">
        <w:rPr>
          <w:rFonts w:ascii="Garamond" w:hAnsi="Garamond"/>
        </w:rPr>
        <w:t>.</w:t>
      </w:r>
    </w:p>
    <w:p w14:paraId="0213C51C" w14:textId="77777777" w:rsidR="00FD7FF4" w:rsidRDefault="00FD7FF4" w:rsidP="006B441B">
      <w:pPr>
        <w:jc w:val="both"/>
        <w:rPr>
          <w:rFonts w:ascii="Garamond" w:hAnsi="Garamond"/>
        </w:rPr>
      </w:pPr>
    </w:p>
    <w:p w14:paraId="34BC7DAE" w14:textId="77777777" w:rsidR="00FD7FF4" w:rsidRDefault="00FD7FF4" w:rsidP="006B441B">
      <w:pPr>
        <w:jc w:val="both"/>
        <w:rPr>
          <w:rFonts w:ascii="Garamond" w:hAnsi="Garamond"/>
        </w:rPr>
      </w:pPr>
      <w:r>
        <w:rPr>
          <w:rFonts w:ascii="Garamond" w:hAnsi="Garamond"/>
        </w:rPr>
        <w:t>U članku 8. citirane Odluke stoji:</w:t>
      </w:r>
    </w:p>
    <w:p w14:paraId="115EE135" w14:textId="77777777" w:rsidR="00FD7FF4" w:rsidRDefault="00FD7FF4" w:rsidP="006B441B">
      <w:pPr>
        <w:jc w:val="both"/>
        <w:rPr>
          <w:rFonts w:ascii="Garamond" w:hAnsi="Garamond"/>
        </w:rPr>
      </w:pPr>
    </w:p>
    <w:p w14:paraId="0F62C2B5" w14:textId="77777777" w:rsidR="00FD7FF4" w:rsidRPr="00FD7FF4" w:rsidRDefault="00FD7FF4" w:rsidP="006B441B">
      <w:pPr>
        <w:jc w:val="both"/>
        <w:rPr>
          <w:rFonts w:ascii="Garamond" w:hAnsi="Garamond"/>
        </w:rPr>
      </w:pPr>
    </w:p>
    <w:p w14:paraId="2E4795BA" w14:textId="77777777" w:rsidR="00FD7FF4" w:rsidRPr="00FD7FF4" w:rsidRDefault="00FD7FF4" w:rsidP="00FD7FF4">
      <w:pPr>
        <w:keepNext/>
        <w:jc w:val="center"/>
        <w:outlineLvl w:val="1"/>
        <w:rPr>
          <w:rFonts w:ascii="Garamond" w:hAnsi="Garamond"/>
          <w:b/>
        </w:rPr>
      </w:pPr>
      <w:bookmarkStart w:id="2" w:name="_Hlk189730506"/>
      <w:r w:rsidRPr="00FD7FF4">
        <w:rPr>
          <w:rFonts w:ascii="Garamond" w:hAnsi="Garamond"/>
          <w:b/>
        </w:rPr>
        <w:t>Članak 8.</w:t>
      </w:r>
    </w:p>
    <w:p w14:paraId="0B47DCD0" w14:textId="77777777" w:rsidR="00FD7FF4" w:rsidRPr="00FD7FF4" w:rsidRDefault="00FD7FF4" w:rsidP="00FD7FF4">
      <w:pPr>
        <w:rPr>
          <w:rFonts w:ascii="Garamond" w:hAnsi="Garamond"/>
        </w:rPr>
      </w:pPr>
      <w:r w:rsidRPr="00FD7FF4">
        <w:rPr>
          <w:rFonts w:ascii="Garamond" w:hAnsi="Garamond"/>
        </w:rPr>
        <w:t xml:space="preserve">Koeficijent namjene nekretnina (Kn), </w:t>
      </w:r>
      <w:r w:rsidRPr="00FD7FF4">
        <w:rPr>
          <w:rFonts w:ascii="Garamond" w:hAnsi="Garamond"/>
          <w:lang w:eastAsia="en-US"/>
        </w:rPr>
        <w:t>ovisno o vrsti nekretnine i djelatnosti</w:t>
      </w:r>
      <w:r w:rsidRPr="00FD7FF4">
        <w:rPr>
          <w:rFonts w:ascii="Garamond" w:hAnsi="Garamond"/>
        </w:rPr>
        <w:t xml:space="preserve"> koja se obavlja, utvrđuje se kako slijedi:</w:t>
      </w:r>
    </w:p>
    <w:p w14:paraId="5EEEBBAD" w14:textId="77777777" w:rsidR="00FD7FF4" w:rsidRPr="00FD7FF4" w:rsidRDefault="00FD7FF4" w:rsidP="00FD7FF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265"/>
        <w:gridCol w:w="1401"/>
      </w:tblGrid>
      <w:tr w:rsidR="00FD7FF4" w:rsidRPr="00FD7FF4" w14:paraId="3C6CA138" w14:textId="77777777" w:rsidTr="001E3289">
        <w:tc>
          <w:tcPr>
            <w:tcW w:w="396" w:type="dxa"/>
            <w:shd w:val="clear" w:color="auto" w:fill="auto"/>
          </w:tcPr>
          <w:p w14:paraId="07A2CAD2" w14:textId="77777777" w:rsidR="00FD7FF4" w:rsidRPr="00FD7FF4" w:rsidRDefault="00FD7FF4" w:rsidP="001E3289">
            <w:pPr>
              <w:rPr>
                <w:rFonts w:ascii="Garamond" w:hAnsi="Garamond"/>
              </w:rPr>
            </w:pPr>
          </w:p>
        </w:tc>
        <w:tc>
          <w:tcPr>
            <w:tcW w:w="7265" w:type="dxa"/>
            <w:shd w:val="clear" w:color="auto" w:fill="auto"/>
          </w:tcPr>
          <w:p w14:paraId="0B4B8E25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Namjena</w:t>
            </w:r>
          </w:p>
        </w:tc>
        <w:tc>
          <w:tcPr>
            <w:tcW w:w="1401" w:type="dxa"/>
            <w:shd w:val="clear" w:color="auto" w:fill="auto"/>
          </w:tcPr>
          <w:p w14:paraId="6C98C93A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Koef.namj.</w:t>
            </w:r>
          </w:p>
        </w:tc>
      </w:tr>
      <w:tr w:rsidR="00FD7FF4" w:rsidRPr="00FD7FF4" w14:paraId="6E378190" w14:textId="77777777" w:rsidTr="001E3289">
        <w:tc>
          <w:tcPr>
            <w:tcW w:w="396" w:type="dxa"/>
            <w:shd w:val="clear" w:color="auto" w:fill="auto"/>
          </w:tcPr>
          <w:p w14:paraId="2E71B198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1.</w:t>
            </w:r>
          </w:p>
        </w:tc>
        <w:tc>
          <w:tcPr>
            <w:tcW w:w="7265" w:type="dxa"/>
            <w:shd w:val="clear" w:color="auto" w:fill="auto"/>
          </w:tcPr>
          <w:p w14:paraId="5AB6DC4C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stambeni prostor </w:t>
            </w:r>
          </w:p>
        </w:tc>
        <w:tc>
          <w:tcPr>
            <w:tcW w:w="1401" w:type="dxa"/>
            <w:shd w:val="clear" w:color="auto" w:fill="auto"/>
          </w:tcPr>
          <w:p w14:paraId="342E45C6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1,00</w:t>
            </w:r>
          </w:p>
        </w:tc>
      </w:tr>
      <w:tr w:rsidR="00FD7FF4" w:rsidRPr="00FD7FF4" w14:paraId="46F7FCFF" w14:textId="77777777" w:rsidTr="001E3289">
        <w:tc>
          <w:tcPr>
            <w:tcW w:w="396" w:type="dxa"/>
            <w:shd w:val="clear" w:color="auto" w:fill="auto"/>
          </w:tcPr>
          <w:p w14:paraId="627259D6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2.</w:t>
            </w:r>
          </w:p>
        </w:tc>
        <w:tc>
          <w:tcPr>
            <w:tcW w:w="7265" w:type="dxa"/>
            <w:shd w:val="clear" w:color="auto" w:fill="auto"/>
          </w:tcPr>
          <w:p w14:paraId="57ED4F91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garažni prostor</w:t>
            </w:r>
          </w:p>
        </w:tc>
        <w:tc>
          <w:tcPr>
            <w:tcW w:w="1401" w:type="dxa"/>
            <w:shd w:val="clear" w:color="auto" w:fill="auto"/>
          </w:tcPr>
          <w:p w14:paraId="46124BEF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1,00</w:t>
            </w:r>
          </w:p>
        </w:tc>
      </w:tr>
      <w:tr w:rsidR="00FD7FF4" w:rsidRPr="00FD7FF4" w14:paraId="781685AF" w14:textId="77777777" w:rsidTr="001E3289">
        <w:tc>
          <w:tcPr>
            <w:tcW w:w="396" w:type="dxa"/>
            <w:shd w:val="clear" w:color="auto" w:fill="auto"/>
          </w:tcPr>
          <w:p w14:paraId="32B18F11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3.</w:t>
            </w:r>
          </w:p>
        </w:tc>
        <w:tc>
          <w:tcPr>
            <w:tcW w:w="7265" w:type="dxa"/>
            <w:shd w:val="clear" w:color="auto" w:fill="auto"/>
          </w:tcPr>
          <w:p w14:paraId="60CA3D24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neizgrađeno građevinsko zemljište</w:t>
            </w:r>
          </w:p>
        </w:tc>
        <w:tc>
          <w:tcPr>
            <w:tcW w:w="1401" w:type="dxa"/>
            <w:shd w:val="clear" w:color="auto" w:fill="auto"/>
          </w:tcPr>
          <w:p w14:paraId="4998703C" w14:textId="77777777" w:rsidR="00FD7FF4" w:rsidRPr="00FD7FF4" w:rsidRDefault="00FD7FF4" w:rsidP="001E3289">
            <w:pPr>
              <w:rPr>
                <w:rFonts w:ascii="Garamond" w:hAnsi="Garamond"/>
                <w:color w:val="000000"/>
              </w:rPr>
            </w:pPr>
            <w:r w:rsidRPr="00FD7FF4">
              <w:rPr>
                <w:rFonts w:ascii="Garamond" w:hAnsi="Garamond"/>
                <w:color w:val="000000"/>
              </w:rPr>
              <w:t>0,05</w:t>
            </w:r>
          </w:p>
        </w:tc>
      </w:tr>
      <w:tr w:rsidR="00FD7FF4" w:rsidRPr="00FD7FF4" w14:paraId="3D717F8D" w14:textId="77777777" w:rsidTr="001E3289">
        <w:tc>
          <w:tcPr>
            <w:tcW w:w="396" w:type="dxa"/>
            <w:shd w:val="clear" w:color="auto" w:fill="auto"/>
          </w:tcPr>
          <w:p w14:paraId="13138D41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4.</w:t>
            </w:r>
          </w:p>
        </w:tc>
        <w:tc>
          <w:tcPr>
            <w:tcW w:w="7265" w:type="dxa"/>
            <w:shd w:val="clear" w:color="auto" w:fill="auto"/>
          </w:tcPr>
          <w:p w14:paraId="701EA1B2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poslovni prostor</w:t>
            </w:r>
          </w:p>
          <w:p w14:paraId="622E1483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proizvodne djelatnosti (osim poljoprivrede)</w:t>
            </w:r>
          </w:p>
          <w:p w14:paraId="1CD5C055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poljoprivrednu djelatnost</w:t>
            </w:r>
          </w:p>
          <w:p w14:paraId="4F402F15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djelatnost trgovine</w:t>
            </w:r>
          </w:p>
          <w:p w14:paraId="6C5B06ED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za ugostiteljsku djelatnost  </w:t>
            </w:r>
          </w:p>
          <w:p w14:paraId="7B25AB2E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za djelatnost iznajmljivanja smještaja</w:t>
            </w:r>
          </w:p>
          <w:p w14:paraId="6F24F1EE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 xml:space="preserve">za obrtničku djelatnost i usluge te za intelektualne usluge  </w:t>
            </w:r>
          </w:p>
          <w:p w14:paraId="776218CA" w14:textId="77777777" w:rsidR="00FD7FF4" w:rsidRPr="00FD7FF4" w:rsidRDefault="00FD7FF4" w:rsidP="00FD7FF4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telefonske centrale, niskonaponske trafostanice, objekti za mobilnu telefoniju (antene i dr.)</w:t>
            </w:r>
          </w:p>
        </w:tc>
        <w:tc>
          <w:tcPr>
            <w:tcW w:w="1401" w:type="dxa"/>
            <w:shd w:val="clear" w:color="auto" w:fill="auto"/>
          </w:tcPr>
          <w:p w14:paraId="095DFBCA" w14:textId="77777777" w:rsidR="00FD7FF4" w:rsidRPr="00FD7FF4" w:rsidRDefault="00FD7FF4" w:rsidP="001E3289">
            <w:pPr>
              <w:rPr>
                <w:rFonts w:ascii="Garamond" w:hAnsi="Garamond"/>
              </w:rPr>
            </w:pPr>
          </w:p>
          <w:p w14:paraId="75913857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4,00</w:t>
            </w:r>
          </w:p>
          <w:p w14:paraId="5F2B5824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2,00</w:t>
            </w:r>
          </w:p>
          <w:p w14:paraId="1CE144B5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6,00</w:t>
            </w:r>
          </w:p>
          <w:p w14:paraId="09158F40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7,00</w:t>
            </w:r>
          </w:p>
          <w:p w14:paraId="1B254645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5,00/8,00</w:t>
            </w:r>
          </w:p>
          <w:p w14:paraId="00058B81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5,00</w:t>
            </w:r>
          </w:p>
          <w:p w14:paraId="6FC57D72" w14:textId="77777777" w:rsidR="00FD7FF4" w:rsidRPr="00FD7FF4" w:rsidRDefault="00FD7FF4" w:rsidP="001E3289">
            <w:pPr>
              <w:rPr>
                <w:rFonts w:ascii="Garamond" w:hAnsi="Garamond"/>
              </w:rPr>
            </w:pPr>
          </w:p>
          <w:p w14:paraId="066A775B" w14:textId="77777777" w:rsidR="00FD7FF4" w:rsidRPr="00FD7FF4" w:rsidRDefault="00FD7FF4" w:rsidP="001E3289">
            <w:pPr>
              <w:rPr>
                <w:rFonts w:ascii="Garamond" w:hAnsi="Garamond"/>
              </w:rPr>
            </w:pPr>
            <w:r w:rsidRPr="00FD7FF4">
              <w:rPr>
                <w:rFonts w:ascii="Garamond" w:hAnsi="Garamond"/>
              </w:rPr>
              <w:t>10,00</w:t>
            </w:r>
          </w:p>
        </w:tc>
      </w:tr>
    </w:tbl>
    <w:p w14:paraId="4637257B" w14:textId="77777777" w:rsidR="00FD7FF4" w:rsidRPr="00FD7FF4" w:rsidRDefault="00FD7FF4" w:rsidP="00FD7FF4">
      <w:pPr>
        <w:rPr>
          <w:rFonts w:ascii="Garamond" w:hAnsi="Garamond"/>
          <w:lang w:val="en-US"/>
        </w:rPr>
      </w:pPr>
    </w:p>
    <w:p w14:paraId="4CA5B0AE" w14:textId="77777777" w:rsidR="00FD7FF4" w:rsidRPr="00FD7FF4" w:rsidRDefault="00FD7FF4" w:rsidP="00FD7FF4">
      <w:pPr>
        <w:jc w:val="both"/>
        <w:rPr>
          <w:rFonts w:ascii="Garamond" w:hAnsi="Garamond"/>
        </w:rPr>
      </w:pPr>
      <w:r w:rsidRPr="00FD7FF4">
        <w:rPr>
          <w:rFonts w:ascii="Garamond" w:hAnsi="Garamond"/>
        </w:rPr>
        <w:t>Koeficijent namjene za građevinsko zemljište koje služi za obavljanje poslovne djelatnosti iznosi 10% koeficijenta namjene koji je određen za poslovni prostor.</w:t>
      </w:r>
    </w:p>
    <w:p w14:paraId="0B77EA9E" w14:textId="77777777" w:rsidR="00FD7FF4" w:rsidRPr="00FD7FF4" w:rsidRDefault="00FD7FF4" w:rsidP="00FD7FF4">
      <w:pPr>
        <w:jc w:val="both"/>
        <w:rPr>
          <w:rFonts w:ascii="Garamond" w:hAnsi="Garamond"/>
        </w:rPr>
      </w:pPr>
    </w:p>
    <w:p w14:paraId="127055FD" w14:textId="77777777" w:rsidR="00FD7FF4" w:rsidRPr="00FD7FF4" w:rsidRDefault="00FD7FF4" w:rsidP="00FD7FF4">
      <w:pPr>
        <w:jc w:val="both"/>
        <w:rPr>
          <w:rFonts w:ascii="Garamond" w:hAnsi="Garamond"/>
        </w:rPr>
      </w:pPr>
      <w:r w:rsidRPr="00FD7FF4">
        <w:rPr>
          <w:rFonts w:ascii="Garamond" w:hAnsi="Garamond"/>
        </w:rPr>
        <w:t xml:space="preserve">Za </w:t>
      </w:r>
      <w:bookmarkStart w:id="3" w:name="_Hlk189737345"/>
      <w:r w:rsidRPr="00FD7FF4">
        <w:rPr>
          <w:rFonts w:ascii="Garamond" w:hAnsi="Garamond"/>
        </w:rPr>
        <w:t>vlasnike i korisnike kuća za odmor, apartmana i soba za iznajmljivanje koji su fizičke ili pravne osobe u vlasništvu  fizičke osobe sa prebivalištem na području Općine Tinjan u neprekidnom trajanju dužem od 20 godina te njihova djeca, pod uvjetom da imaju prebivalište na području Općine Tinjan u neprekidnom trajanju dužem od 2 godine od dana utvrđivanja obveze, utvrđuje se koeficijent namjene za poslovni prostor za djelatnost iznajmljivanja smještaja u visini od 5,00.</w:t>
      </w:r>
    </w:p>
    <w:p w14:paraId="7A9F934A" w14:textId="77777777" w:rsidR="00FD7FF4" w:rsidRPr="00FD7FF4" w:rsidRDefault="00FD7FF4" w:rsidP="00FD7FF4">
      <w:pPr>
        <w:jc w:val="both"/>
        <w:rPr>
          <w:rFonts w:ascii="Garamond" w:hAnsi="Garamond"/>
        </w:rPr>
      </w:pPr>
    </w:p>
    <w:bookmarkEnd w:id="3"/>
    <w:p w14:paraId="56E2698E" w14:textId="51BCF618" w:rsidR="00FD7FF4" w:rsidRPr="00FD7FF4" w:rsidRDefault="00FD7FF4" w:rsidP="00FD7FF4">
      <w:pPr>
        <w:jc w:val="both"/>
        <w:rPr>
          <w:rFonts w:ascii="Garamond" w:hAnsi="Garamond"/>
        </w:rPr>
      </w:pPr>
      <w:r w:rsidRPr="00FD7FF4">
        <w:rPr>
          <w:rFonts w:ascii="Garamond" w:hAnsi="Garamond"/>
        </w:rPr>
        <w:t>Za vlasnike i korisnike kuća za odmor, apartmana i soba za iznajmljivanje koji ne ispunjavaju uvjete iz prethodnog stavka utvrđuje se koeficijent namjene za poslovni prostor za djelatnost iznajmljivanja smještaja u visini od 8,00. ''</w:t>
      </w:r>
    </w:p>
    <w:bookmarkEnd w:id="2"/>
    <w:p w14:paraId="46F8472D" w14:textId="77777777" w:rsidR="00FD7FF4" w:rsidRDefault="00FD7FF4" w:rsidP="00FD7FF4">
      <w:pPr>
        <w:jc w:val="both"/>
        <w:rPr>
          <w:rFonts w:ascii="Garamond" w:hAnsi="Garamond"/>
        </w:rPr>
      </w:pPr>
      <w:r w:rsidRPr="00FD7FF4">
        <w:rPr>
          <w:rFonts w:ascii="Garamond" w:hAnsi="Garamond"/>
        </w:rPr>
        <w:t xml:space="preserve">  </w:t>
      </w:r>
    </w:p>
    <w:p w14:paraId="4055ABBE" w14:textId="77777777" w:rsidR="00FD7FF4" w:rsidRDefault="00FD7FF4" w:rsidP="00FD7FF4">
      <w:pPr>
        <w:jc w:val="both"/>
        <w:rPr>
          <w:rFonts w:ascii="Garamond" w:hAnsi="Garamond"/>
        </w:rPr>
      </w:pPr>
    </w:p>
    <w:p w14:paraId="11A92561" w14:textId="77777777" w:rsidR="00FD7FF4" w:rsidRPr="00FD7FF4" w:rsidRDefault="00FD7FF4" w:rsidP="006B441B">
      <w:pPr>
        <w:jc w:val="both"/>
        <w:rPr>
          <w:rFonts w:ascii="Garamond" w:hAnsi="Garamond"/>
        </w:rPr>
      </w:pPr>
    </w:p>
    <w:p w14:paraId="64F127F2" w14:textId="631BAA50" w:rsidR="006B441B" w:rsidRPr="00FD7FF4" w:rsidRDefault="00FD7FF4" w:rsidP="006B441B">
      <w:pPr>
        <w:jc w:val="both"/>
        <w:rPr>
          <w:rFonts w:ascii="Garamond" w:hAnsi="Garamond"/>
        </w:rPr>
      </w:pPr>
      <w:r w:rsidRPr="00FD7FF4">
        <w:rPr>
          <w:rFonts w:ascii="Garamond" w:hAnsi="Garamond"/>
        </w:rPr>
        <w:lastRenderedPageBreak/>
        <w:t>Prijedlogom O</w:t>
      </w:r>
      <w:r>
        <w:rPr>
          <w:rFonts w:ascii="Garamond" w:hAnsi="Garamond"/>
        </w:rPr>
        <w:t>dl</w:t>
      </w:r>
      <w:r w:rsidRPr="00FD7FF4">
        <w:rPr>
          <w:rFonts w:ascii="Garamond" w:hAnsi="Garamond"/>
        </w:rPr>
        <w:t>uke o izmj</w:t>
      </w:r>
      <w:r>
        <w:rPr>
          <w:rFonts w:ascii="Garamond" w:hAnsi="Garamond"/>
        </w:rPr>
        <w:t>e</w:t>
      </w:r>
      <w:r w:rsidRPr="00FD7FF4">
        <w:rPr>
          <w:rFonts w:ascii="Garamond" w:hAnsi="Garamond"/>
        </w:rPr>
        <w:t xml:space="preserve">ni i dopuni </w:t>
      </w:r>
      <w:r>
        <w:rPr>
          <w:rFonts w:ascii="Garamond" w:hAnsi="Garamond"/>
        </w:rPr>
        <w:t>O</w:t>
      </w:r>
      <w:r w:rsidRPr="00FD7FF4">
        <w:rPr>
          <w:rFonts w:ascii="Garamond" w:hAnsi="Garamond"/>
        </w:rPr>
        <w:t>dluke o komunalnoj naknadi z</w:t>
      </w:r>
      <w:r w:rsidR="008B1B82" w:rsidRPr="00FD7FF4">
        <w:rPr>
          <w:rFonts w:ascii="Garamond" w:hAnsi="Garamond"/>
        </w:rPr>
        <w:t xml:space="preserve">a kuće za odmor, apartmane i sobe za iznajmljivanje utvrđuje se </w:t>
      </w:r>
      <w:r w:rsidR="006B441B" w:rsidRPr="00FD7FF4">
        <w:rPr>
          <w:rFonts w:ascii="Garamond" w:hAnsi="Garamond"/>
        </w:rPr>
        <w:t>koeficijent namjene stamben</w:t>
      </w:r>
      <w:r w:rsidR="008B1B82" w:rsidRPr="00FD7FF4">
        <w:rPr>
          <w:rFonts w:ascii="Garamond" w:hAnsi="Garamond"/>
        </w:rPr>
        <w:t xml:space="preserve">og prostora u visini </w:t>
      </w:r>
      <w:r w:rsidR="006B441B" w:rsidRPr="00FD7FF4">
        <w:rPr>
          <w:rFonts w:ascii="Garamond" w:hAnsi="Garamond"/>
        </w:rPr>
        <w:t>1,00</w:t>
      </w:r>
      <w:r w:rsidR="008B1B82" w:rsidRPr="00FD7FF4">
        <w:rPr>
          <w:rFonts w:ascii="Garamond" w:hAnsi="Garamond"/>
        </w:rPr>
        <w:t xml:space="preserve">. </w:t>
      </w:r>
    </w:p>
    <w:p w14:paraId="2C54D00F" w14:textId="77777777" w:rsidR="006B441B" w:rsidRPr="00FD7FF4" w:rsidRDefault="006B441B" w:rsidP="006B441B">
      <w:pPr>
        <w:jc w:val="both"/>
        <w:rPr>
          <w:rFonts w:ascii="Garamond" w:hAnsi="Garamond"/>
        </w:rPr>
      </w:pPr>
    </w:p>
    <w:p w14:paraId="69C26C15" w14:textId="507876B0" w:rsidR="008B1B82" w:rsidRPr="00FD7FF4" w:rsidRDefault="006B441B" w:rsidP="008B1B82">
      <w:pPr>
        <w:rPr>
          <w:rFonts w:ascii="Garamond" w:hAnsi="Garamond"/>
        </w:rPr>
      </w:pPr>
      <w:r w:rsidRPr="00FD7FF4">
        <w:rPr>
          <w:rFonts w:ascii="Garamond" w:hAnsi="Garamond"/>
        </w:rPr>
        <w:t>Izmjena je uzrokovana stupanjem na snagu Zakona o porezu na nekretnine sukladno kojem se porez obračunava samo na stambeni prostor</w:t>
      </w:r>
      <w:r w:rsidR="008B1B82" w:rsidRPr="00FD7FF4">
        <w:rPr>
          <w:rFonts w:ascii="Garamond" w:hAnsi="Garamond"/>
        </w:rPr>
        <w:t xml:space="preserve">, te je nužno izmijeniti odluku kako Općina </w:t>
      </w:r>
      <w:r w:rsidR="00FD7FF4" w:rsidRPr="00FD7FF4">
        <w:rPr>
          <w:rFonts w:ascii="Garamond" w:hAnsi="Garamond"/>
        </w:rPr>
        <w:t xml:space="preserve">ne bi </w:t>
      </w:r>
      <w:r w:rsidR="008B1B82" w:rsidRPr="00FD7FF4">
        <w:rPr>
          <w:rFonts w:ascii="Garamond" w:hAnsi="Garamond"/>
        </w:rPr>
        <w:t>ostala bez tog dijela prihoda,koji je do sada imala k</w:t>
      </w:r>
      <w:r w:rsidR="00FD7FF4" w:rsidRPr="00FD7FF4">
        <w:rPr>
          <w:rFonts w:ascii="Garamond" w:hAnsi="Garamond"/>
        </w:rPr>
        <w:t>ao</w:t>
      </w:r>
      <w:r w:rsidR="008B1B82" w:rsidRPr="00FD7FF4">
        <w:rPr>
          <w:rFonts w:ascii="Garamond" w:hAnsi="Garamond"/>
        </w:rPr>
        <w:t xml:space="preserve"> porez na kuće za odmor. </w:t>
      </w:r>
    </w:p>
    <w:p w14:paraId="223FB41C" w14:textId="77777777" w:rsidR="008B1B82" w:rsidRPr="00FD7FF4" w:rsidRDefault="008B1B82" w:rsidP="008B1B82">
      <w:pPr>
        <w:rPr>
          <w:rFonts w:ascii="Garamond" w:hAnsi="Garamond"/>
        </w:rPr>
      </w:pPr>
    </w:p>
    <w:p w14:paraId="5D179356" w14:textId="41562AA1" w:rsidR="006B441B" w:rsidRPr="00A21EFB" w:rsidRDefault="00FD7FF4" w:rsidP="00FD7FF4">
      <w:pPr>
        <w:jc w:val="right"/>
        <w:rPr>
          <w:rFonts w:ascii="Garamond" w:hAnsi="Garamond"/>
        </w:rPr>
      </w:pPr>
      <w:r w:rsidRPr="00FD7FF4">
        <w:rPr>
          <w:rFonts w:ascii="Garamond" w:hAnsi="Garamond"/>
        </w:rPr>
        <w:t>Jedinstveni upravni o</w:t>
      </w:r>
      <w:r>
        <w:rPr>
          <w:rFonts w:ascii="Garamond" w:hAnsi="Garamond"/>
        </w:rPr>
        <w:t>djel</w:t>
      </w:r>
    </w:p>
    <w:sectPr w:rsidR="006B441B" w:rsidRPr="00A2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936"/>
    <w:multiLevelType w:val="hybridMultilevel"/>
    <w:tmpl w:val="A6DA7C7A"/>
    <w:lvl w:ilvl="0" w:tplc="B5760A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DB9"/>
    <w:multiLevelType w:val="hybridMultilevel"/>
    <w:tmpl w:val="2B1A0B3C"/>
    <w:lvl w:ilvl="0" w:tplc="F01C25B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05961">
    <w:abstractNumId w:val="0"/>
  </w:num>
  <w:num w:numId="2" w16cid:durableId="56881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B"/>
    <w:rsid w:val="00195F32"/>
    <w:rsid w:val="00240C36"/>
    <w:rsid w:val="004425FD"/>
    <w:rsid w:val="005812C0"/>
    <w:rsid w:val="006B441B"/>
    <w:rsid w:val="006E3296"/>
    <w:rsid w:val="00814B61"/>
    <w:rsid w:val="0087342A"/>
    <w:rsid w:val="008B1B82"/>
    <w:rsid w:val="008B2988"/>
    <w:rsid w:val="00A11E03"/>
    <w:rsid w:val="00A21EFB"/>
    <w:rsid w:val="00BB6FE4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B3E"/>
  <w15:chartTrackingRefBased/>
  <w15:docId w15:val="{DBE7DA99-07C6-4DB8-9A3A-127F0AE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E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E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EF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D7FF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2025-02-06T11:50:00Z</dcterms:created>
  <dcterms:modified xsi:type="dcterms:W3CDTF">2025-02-06T12:25:00Z</dcterms:modified>
</cp:coreProperties>
</file>